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502F" w:rsidR="00723BAB" w:rsidP="307F5551" w:rsidRDefault="00723BAB" w14:paraId="4F42C0CD" w14:textId="77777777" w14:noSpellErr="1">
      <w:pPr>
        <w:pStyle w:val="NormalWeb"/>
        <w:spacing w:before="0" w:beforeAutospacing="off" w:after="0" w:afterAutospacing="off"/>
        <w:rPr>
          <w:rFonts w:ascii="Calibri" w:hAnsi="Calibri" w:cs="Calibri" w:asciiTheme="minorAscii" w:hAnsiTheme="minorAscii" w:cstheme="minorAscii"/>
          <w:b w:val="1"/>
          <w:bCs w:val="1"/>
        </w:rPr>
      </w:pPr>
      <w:r w:rsidRPr="307F5551" w:rsidR="00723BAB">
        <w:rPr>
          <w:rFonts w:ascii="Calibri" w:hAnsi="Calibri" w:eastAsia="" w:cs="Calibri" w:asciiTheme="minorAscii" w:hAnsiTheme="minorAscii" w:eastAsiaTheme="minorEastAsia" w:cstheme="minorAscii"/>
          <w:b w:val="1"/>
          <w:bCs w:val="1"/>
          <w:kern w:val="24"/>
          <w:lang w:val="en-US"/>
        </w:rPr>
        <w:t>Pathway 3 </w:t>
      </w:r>
    </w:p>
    <w:p w:rsidRPr="0040502F" w:rsidR="00723BAB" w:rsidP="00723BAB" w:rsidRDefault="00723BAB" w14:paraId="4EEB59A7" w14:textId="4E9B9288">
      <w:pPr>
        <w:pStyle w:val="ListParagraph"/>
        <w:numPr>
          <w:ilvl w:val="0"/>
          <w:numId w:val="1"/>
        </w:numPr>
        <w:rPr>
          <w:rFonts w:asciiTheme="minorHAnsi" w:hAnsiTheme="minorHAnsi" w:cstheme="minorHAnsi"/>
        </w:rPr>
      </w:pPr>
      <w:r w:rsidRPr="0040502F">
        <w:rPr>
          <w:rFonts w:asciiTheme="minorHAnsi" w:hAnsiTheme="minorHAnsi" w:eastAsiaTheme="minorEastAsia" w:cstheme="minorHAnsi"/>
          <w:kern w:val="24"/>
          <w:lang w:val="en-US"/>
        </w:rPr>
        <w:t xml:space="preserve">Pathway 3 is a discharge to a care home for patients who are likely to require long-term bed-based </w:t>
      </w:r>
      <w:r w:rsidRPr="0040502F">
        <w:rPr>
          <w:rFonts w:asciiTheme="minorHAnsi" w:hAnsiTheme="minorHAnsi" w:eastAsiaTheme="minorEastAsia" w:cstheme="minorHAnsi"/>
          <w:kern w:val="24"/>
          <w:lang w:val="en-US"/>
        </w:rPr>
        <w:t>care.</w:t>
      </w:r>
      <w:r w:rsidRPr="0040502F">
        <w:rPr>
          <w:rFonts w:asciiTheme="minorHAnsi" w:hAnsiTheme="minorHAnsi" w:eastAsiaTheme="minorEastAsia" w:cstheme="minorHAnsi"/>
          <w:kern w:val="24"/>
          <w:lang w:val="en-US"/>
        </w:rPr>
        <w:t> </w:t>
      </w:r>
    </w:p>
    <w:p w:rsidRPr="0040502F" w:rsidR="00723BAB" w:rsidP="307F5551" w:rsidRDefault="00723BAB" w14:paraId="35DB4C10" w14:textId="047A970B">
      <w:pPr>
        <w:pStyle w:val="ListParagraph"/>
        <w:numPr>
          <w:ilvl w:val="0"/>
          <w:numId w:val="1"/>
        </w:numPr>
        <w:rPr>
          <w:rFonts w:ascii="Calibri" w:hAnsi="Calibri" w:cs="Calibri" w:asciiTheme="minorAscii" w:hAnsiTheme="minorAscii" w:cstheme="minorAscii"/>
        </w:rPr>
      </w:pPr>
      <w:r w:rsidRPr="307F5551" w:rsidR="1AB1A4B1">
        <w:rPr>
          <w:rFonts w:ascii="Calibri" w:hAnsi="Calibri" w:eastAsia="" w:cs="Calibri" w:asciiTheme="minorAscii" w:hAnsiTheme="minorAscii" w:eastAsiaTheme="minorEastAsia" w:cstheme="minorAscii"/>
          <w:kern w:val="24"/>
          <w:lang w:val="en-US"/>
        </w:rPr>
        <w:t xml:space="preserve">Pati</w:t>
      </w:r>
      <w:r w:rsidRPr="307F5551" w:rsidR="1AB1A4B1">
        <w:rPr>
          <w:rFonts w:ascii="Calibri" w:hAnsi="Calibri" w:eastAsia="" w:cs="Calibri" w:asciiTheme="minorAscii" w:hAnsiTheme="minorAscii" w:eastAsiaTheme="minorEastAsia" w:cstheme="minorAscii"/>
          <w:kern w:val="24"/>
          <w:lang w:val="en-US"/>
        </w:rPr>
        <w:t xml:space="preserve">ents</w:t>
      </w:r>
      <w:r w:rsidRPr="307F5551" w:rsidR="00723BAB">
        <w:rPr>
          <w:rFonts w:ascii="Calibri" w:hAnsi="Calibri" w:eastAsia="" w:cs="Calibri" w:asciiTheme="minorAscii" w:hAnsiTheme="minorAscii" w:eastAsiaTheme="minorEastAsia" w:cstheme="minorAscii"/>
          <w:kern w:val="24"/>
          <w:lang w:val="en-US"/>
        </w:rPr>
        <w:t xml:space="preserve"> who</w:t>
      </w:r>
      <w:r w:rsidRPr="307F5551" w:rsidR="00723BAB">
        <w:rPr>
          <w:rFonts w:ascii="Calibri" w:hAnsi="Calibri" w:eastAsia="" w:cs="Calibri" w:asciiTheme="minorAscii" w:hAnsiTheme="minorAscii" w:eastAsiaTheme="minorEastAsia" w:cstheme="minorAscii"/>
          <w:kern w:val="24"/>
          <w:lang w:val="en-US"/>
        </w:rPr>
        <w:t xml:space="preserve"> have had a life changing event or have been through other pathways multiple </w:t>
      </w:r>
      <w:r w:rsidRPr="307F5551" w:rsidR="00723BAB">
        <w:rPr>
          <w:rFonts w:ascii="Calibri" w:hAnsi="Calibri" w:eastAsia="" w:cs="Calibri" w:asciiTheme="minorAscii" w:hAnsiTheme="minorAscii" w:eastAsiaTheme="minorEastAsia" w:cstheme="minorAscii"/>
          <w:kern w:val="24"/>
          <w:lang w:val="en-US"/>
        </w:rPr>
        <w:t>times.</w:t>
      </w:r>
      <w:r w:rsidRPr="307F5551" w:rsidR="00723BAB">
        <w:rPr>
          <w:rFonts w:ascii="Calibri" w:hAnsi="Calibri" w:eastAsia="" w:cs="Calibri" w:asciiTheme="minorAscii" w:hAnsiTheme="minorAscii" w:eastAsiaTheme="minorEastAsia" w:cstheme="minorAscii"/>
          <w:kern w:val="24"/>
          <w:lang w:val="en-US"/>
        </w:rPr>
        <w:t> </w:t>
      </w:r>
    </w:p>
    <w:p w:rsidRPr="0040502F" w:rsidR="00723BAB" w:rsidP="307F5551" w:rsidRDefault="00723BAB" w14:paraId="143B0B09" w14:textId="77777777" w14:noSpellErr="1">
      <w:pPr>
        <w:pStyle w:val="NormalWeb"/>
        <w:spacing w:before="0" w:beforeAutospacing="off" w:after="0" w:afterAutospacing="off"/>
        <w:rPr>
          <w:rFonts w:ascii="Calibri" w:hAnsi="Calibri" w:cs="Calibri" w:asciiTheme="minorAscii" w:hAnsiTheme="minorAscii" w:cstheme="minorAscii"/>
          <w:b w:val="1"/>
          <w:bCs w:val="1"/>
        </w:rPr>
      </w:pPr>
      <w:r w:rsidRPr="307F5551" w:rsidR="00723BAB">
        <w:rPr>
          <w:rFonts w:ascii="Calibri" w:hAnsi="Calibri" w:eastAsia="" w:cs="Calibri" w:asciiTheme="minorAscii" w:hAnsiTheme="minorAscii" w:eastAsiaTheme="minorEastAsia" w:cstheme="minorAscii"/>
          <w:b w:val="1"/>
          <w:bCs w:val="1"/>
          <w:kern w:val="24"/>
          <w:lang w:val="en-US"/>
        </w:rPr>
        <w:t>Process</w:t>
      </w:r>
    </w:p>
    <w:p w:rsidRPr="0040502F" w:rsidR="00723BAB" w:rsidP="00723BAB" w:rsidRDefault="00723BAB" w14:paraId="3823242C" w14:textId="6169ED96">
      <w:pPr>
        <w:pStyle w:val="ListParagraph"/>
        <w:numPr>
          <w:ilvl w:val="0"/>
          <w:numId w:val="2"/>
        </w:numPr>
        <w:rPr>
          <w:rFonts w:asciiTheme="minorHAnsi" w:hAnsiTheme="minorHAnsi" w:cstheme="minorHAnsi"/>
        </w:rPr>
      </w:pPr>
      <w:r w:rsidRPr="0040502F">
        <w:rPr>
          <w:rFonts w:asciiTheme="minorHAnsi" w:hAnsiTheme="minorHAnsi" w:eastAsiaTheme="minorEastAsia" w:cstheme="minorHAnsi"/>
          <w:kern w:val="24"/>
          <w:lang w:val="en-US"/>
        </w:rPr>
        <w:t xml:space="preserve">Once the pathway has been identified by the MDT, a member of the hospital integrated discharge team will lead on the completion of the referral </w:t>
      </w:r>
      <w:proofErr w:type="spellStart"/>
      <w:r w:rsidRPr="0040502F">
        <w:rPr>
          <w:rFonts w:asciiTheme="minorHAnsi" w:hAnsiTheme="minorHAnsi" w:eastAsiaTheme="minorEastAsia" w:cstheme="minorHAnsi"/>
          <w:kern w:val="24"/>
          <w:lang w:val="en-US"/>
        </w:rPr>
        <w:t>utilising</w:t>
      </w:r>
      <w:proofErr w:type="spellEnd"/>
      <w:r w:rsidRPr="0040502F">
        <w:rPr>
          <w:rFonts w:asciiTheme="minorHAnsi" w:hAnsiTheme="minorHAnsi" w:eastAsiaTheme="minorEastAsia" w:cstheme="minorHAnsi"/>
          <w:kern w:val="24"/>
          <w:lang w:val="en-US"/>
        </w:rPr>
        <w:t xml:space="preserve"> the Greater Manchester Supported discharge </w:t>
      </w:r>
      <w:r w:rsidRPr="0040502F">
        <w:rPr>
          <w:rFonts w:asciiTheme="minorHAnsi" w:hAnsiTheme="minorHAnsi" w:eastAsiaTheme="minorEastAsia" w:cstheme="minorHAnsi"/>
          <w:kern w:val="24"/>
          <w:lang w:val="en-US"/>
        </w:rPr>
        <w:t>form.</w:t>
      </w:r>
      <w:r w:rsidRPr="0040502F">
        <w:rPr>
          <w:rFonts w:asciiTheme="minorHAnsi" w:hAnsiTheme="minorHAnsi" w:eastAsiaTheme="minorEastAsia" w:cstheme="minorHAnsi"/>
          <w:kern w:val="24"/>
          <w:lang w:val="en-US"/>
        </w:rPr>
        <w:t> </w:t>
      </w:r>
    </w:p>
    <w:p w:rsidRPr="0040502F" w:rsidR="00723BAB" w:rsidP="00723BAB" w:rsidRDefault="00723BAB" w14:paraId="372F85E6" w14:textId="26A85008">
      <w:pPr>
        <w:pStyle w:val="ListParagraph"/>
        <w:numPr>
          <w:ilvl w:val="0"/>
          <w:numId w:val="2"/>
        </w:numPr>
        <w:rPr>
          <w:rFonts w:asciiTheme="minorHAnsi" w:hAnsiTheme="minorHAnsi" w:cstheme="minorHAnsi"/>
        </w:rPr>
      </w:pPr>
      <w:r w:rsidRPr="0040502F">
        <w:rPr>
          <w:rFonts w:asciiTheme="minorHAnsi" w:hAnsiTheme="minorHAnsi" w:eastAsiaTheme="minorEastAsia" w:cstheme="minorHAnsi"/>
          <w:kern w:val="24"/>
          <w:lang w:val="en-US"/>
        </w:rPr>
        <w:t xml:space="preserve">Input may be required from extended members of the MDT to support the assessment and/or Mental capacity if </w:t>
      </w:r>
      <w:r w:rsidRPr="0040502F">
        <w:rPr>
          <w:rFonts w:asciiTheme="minorHAnsi" w:hAnsiTheme="minorHAnsi" w:eastAsiaTheme="minorEastAsia" w:cstheme="minorHAnsi"/>
          <w:kern w:val="24"/>
          <w:lang w:val="en-US"/>
        </w:rPr>
        <w:t>required.</w:t>
      </w:r>
      <w:r w:rsidRPr="0040502F">
        <w:rPr>
          <w:rFonts w:asciiTheme="minorHAnsi" w:hAnsiTheme="minorHAnsi" w:eastAsiaTheme="minorEastAsia" w:cstheme="minorHAnsi"/>
          <w:kern w:val="24"/>
          <w:lang w:val="en-US"/>
        </w:rPr>
        <w:t> </w:t>
      </w:r>
    </w:p>
    <w:p w:rsidRPr="0040502F" w:rsidR="00723BAB" w:rsidP="307F5551" w:rsidRDefault="00723BAB" w14:paraId="3530A132" w14:textId="09F5B680">
      <w:pPr>
        <w:pStyle w:val="ListParagraph"/>
        <w:numPr>
          <w:ilvl w:val="0"/>
          <w:numId w:val="2"/>
        </w:numPr>
        <w:rPr>
          <w:rFonts w:ascii="Calibri" w:hAnsi="Calibri" w:eastAsia="" w:cs="Calibri" w:asciiTheme="minorAscii" w:hAnsiTheme="minorAscii" w:eastAsiaTheme="minorEastAsia" w:cstheme="minorAscii"/>
          <w:lang w:val="en-US"/>
        </w:rPr>
      </w:pPr>
      <w:r w:rsidRPr="307F5551" w:rsidR="00723BAB">
        <w:rPr>
          <w:rFonts w:ascii="Calibri" w:hAnsi="Calibri" w:eastAsia="" w:cs="Calibri" w:asciiTheme="minorAscii" w:hAnsiTheme="minorAscii" w:eastAsiaTheme="minorEastAsia" w:cstheme="minorAscii"/>
          <w:kern w:val="24"/>
          <w:lang w:val="en-US"/>
        </w:rPr>
        <w:t xml:space="preserve">Once complete the referral is sent to the relevant local authority who will lead on the sourcing of </w:t>
      </w:r>
      <w:r w:rsidRPr="307F5551" w:rsidR="123008DA">
        <w:rPr>
          <w:rFonts w:ascii="Calibri" w:hAnsi="Calibri" w:eastAsia="" w:cs="Calibri" w:asciiTheme="minorAscii" w:hAnsiTheme="minorAscii" w:eastAsiaTheme="minorEastAsia" w:cstheme="minorAscii"/>
          <w:kern w:val="24"/>
          <w:lang w:val="en-US"/>
        </w:rPr>
        <w:t xml:space="preserve">a pathway</w:t>
      </w:r>
      <w:r w:rsidRPr="307F5551" w:rsidR="00723BAB">
        <w:rPr>
          <w:rFonts w:ascii="Calibri" w:hAnsi="Calibri" w:eastAsia="" w:cs="Calibri" w:asciiTheme="minorAscii" w:hAnsiTheme="minorAscii" w:eastAsiaTheme="minorEastAsia" w:cstheme="minorAscii"/>
          <w:kern w:val="24"/>
          <w:lang w:val="en-US"/>
        </w:rPr>
        <w:t xml:space="preserve"> </w:t>
      </w:r>
      <w:r w:rsidRPr="307F5551" w:rsidR="0040502F">
        <w:rPr>
          <w:rFonts w:ascii="Calibri" w:hAnsi="Calibri" w:eastAsia="" w:cs="Calibri" w:asciiTheme="minorAscii" w:hAnsiTheme="minorAscii" w:eastAsiaTheme="minorEastAsia" w:cstheme="minorAscii"/>
          <w:kern w:val="24"/>
          <w:lang w:val="en-US"/>
        </w:rPr>
        <w:t>3</w:t>
      </w:r>
      <w:r w:rsidRPr="307F5551" w:rsidR="66060EA8">
        <w:rPr>
          <w:rFonts w:ascii="Calibri" w:hAnsi="Calibri" w:eastAsia="" w:cs="Calibri" w:asciiTheme="minorAscii" w:hAnsiTheme="minorAscii" w:eastAsiaTheme="minorEastAsia" w:cstheme="minorAscii"/>
          <w:kern w:val="24"/>
          <w:lang w:val="en-US"/>
        </w:rPr>
        <w:t xml:space="preserve"> placement., </w:t>
      </w:r>
    </w:p>
    <w:p w:rsidRPr="0040502F" w:rsidR="00723BAB" w:rsidP="307F5551" w:rsidRDefault="00723BAB" w14:paraId="25A4D06F" w14:textId="0C8A1F27">
      <w:pPr>
        <w:pStyle w:val="ListParagraph"/>
        <w:numPr>
          <w:ilvl w:val="0"/>
          <w:numId w:val="2"/>
        </w:numPr>
        <w:rPr>
          <w:rFonts w:ascii="Calibri" w:hAnsi="Calibri" w:cs="Calibri" w:asciiTheme="minorAscii" w:hAnsiTheme="minorAscii" w:cstheme="minorAscii"/>
        </w:rPr>
      </w:pPr>
      <w:r w:rsidRPr="307F5551" w:rsidR="00723BAB">
        <w:rPr>
          <w:rFonts w:ascii="Calibri" w:hAnsi="Calibri" w:eastAsia="Calibri" w:cs="Calibri" w:asciiTheme="minorAscii" w:hAnsiTheme="minorAscii" w:cstheme="minorAscii"/>
          <w:kern w:val="24"/>
          <w:lang w:val="en-US"/>
        </w:rPr>
        <w:t xml:space="preserve">Referrals should be sent to the relevant </w:t>
      </w:r>
      <w:r w:rsidRPr="307F5551" w:rsidR="23D314E3">
        <w:rPr>
          <w:rFonts w:ascii="Calibri" w:hAnsi="Calibri" w:eastAsia="Calibri" w:cs="Calibri" w:asciiTheme="minorAscii" w:hAnsiTheme="minorAscii" w:cstheme="minorAscii"/>
          <w:kern w:val="24"/>
          <w:lang w:val="en-US"/>
        </w:rPr>
        <w:t xml:space="preserve">hospitals'</w:t>
      </w:r>
      <w:r w:rsidRPr="307F5551" w:rsidR="00723BAB">
        <w:rPr>
          <w:rFonts w:ascii="Calibri" w:hAnsi="Calibri" w:eastAsia="Calibri" w:cs="Calibri" w:asciiTheme="minorAscii" w:hAnsiTheme="minorAscii" w:cstheme="minorAscii"/>
          <w:kern w:val="24"/>
          <w:lang w:val="en-US"/>
        </w:rPr>
        <w:t xml:space="preserve"> single point of access email </w:t>
      </w:r>
      <w:r w:rsidRPr="307F5551" w:rsidR="00723BAB">
        <w:rPr>
          <w:rFonts w:ascii="Calibri" w:hAnsi="Calibri" w:eastAsia="Calibri" w:cs="Calibri" w:asciiTheme="minorAscii" w:hAnsiTheme="minorAscii" w:cstheme="minorAscii"/>
          <w:kern w:val="24"/>
          <w:lang w:val="en-US"/>
        </w:rPr>
        <w:t>address.</w:t>
      </w:r>
      <w:r w:rsidRPr="307F5551" w:rsidR="00723BAB">
        <w:rPr>
          <w:rFonts w:ascii="Calibri" w:hAnsi="Calibri" w:eastAsia="Calibri" w:cs="Calibri" w:asciiTheme="minorAscii" w:hAnsiTheme="minorAscii" w:cstheme="minorAscii"/>
          <w:kern w:val="24"/>
          <w:lang w:val="en-US"/>
        </w:rPr>
        <w:t> </w:t>
      </w:r>
    </w:p>
    <w:p w:rsidRPr="0040502F" w:rsidR="00723BAB" w:rsidP="00723BAB" w:rsidRDefault="00723BAB" w14:paraId="5364A000" w14:textId="35A2B3DA">
      <w:pPr>
        <w:pStyle w:val="ListParagraph"/>
        <w:rPr>
          <w:rFonts w:asciiTheme="minorHAnsi" w:hAnsiTheme="minorHAnsi" w:cstheme="minorHAnsi"/>
        </w:rPr>
      </w:pPr>
    </w:p>
    <w:p w:rsidRPr="0040502F" w:rsidR="00723BAB" w:rsidP="00723BAB" w:rsidRDefault="00723BAB" w14:paraId="3EDD00ED" w14:textId="0AC72337">
      <w:pPr>
        <w:pStyle w:val="NormalWeb"/>
        <w:spacing w:before="0" w:beforeAutospacing="0" w:after="0" w:afterAutospacing="0"/>
        <w:rPr>
          <w:rFonts w:asciiTheme="minorHAnsi" w:hAnsiTheme="minorHAnsi" w:cstheme="minorHAnsi"/>
        </w:rPr>
      </w:pPr>
      <w:r w:rsidRPr="0040502F">
        <w:rPr>
          <w:rFonts w:eastAsia="Calibri" w:asciiTheme="minorHAnsi" w:hAnsiTheme="minorHAnsi" w:cstheme="minorHAnsi"/>
          <w:kern w:val="24"/>
        </w:rPr>
        <w:t xml:space="preserve">North Manchester General Hospital - </w:t>
      </w:r>
      <w:hyperlink w:history="1" r:id="rId5">
        <w:r w:rsidRPr="0040502F">
          <w:rPr>
            <w:rStyle w:val="Hyperlink"/>
            <w:rFonts w:eastAsia="Calibri" w:asciiTheme="minorHAnsi" w:hAnsiTheme="minorHAnsi" w:cstheme="minorHAnsi"/>
            <w:color w:val="auto"/>
            <w:kern w:val="24"/>
          </w:rPr>
          <w:t>noticetoassess@manchester.gov.uk</w:t>
        </w:r>
      </w:hyperlink>
    </w:p>
    <w:p w:rsidRPr="0040502F" w:rsidR="00723BAB" w:rsidP="00723BAB" w:rsidRDefault="00723BAB" w14:paraId="3F794C54" w14:textId="77777777">
      <w:pPr>
        <w:pStyle w:val="NormalWeb"/>
        <w:spacing w:before="0" w:beforeAutospacing="0" w:after="0" w:afterAutospacing="0"/>
        <w:rPr>
          <w:rFonts w:asciiTheme="minorHAnsi" w:hAnsiTheme="minorHAnsi" w:cstheme="minorHAnsi"/>
        </w:rPr>
      </w:pPr>
      <w:r w:rsidRPr="0040502F">
        <w:rPr>
          <w:rFonts w:eastAsia="Calibri" w:asciiTheme="minorHAnsi" w:hAnsiTheme="minorHAnsi" w:cstheme="minorHAnsi"/>
          <w:kern w:val="24"/>
        </w:rPr>
        <w:t xml:space="preserve">Manchester Royal Infirmary- </w:t>
      </w:r>
      <w:hyperlink w:history="1" r:id="rId6">
        <w:r w:rsidRPr="0040502F">
          <w:rPr>
            <w:rStyle w:val="Hyperlink"/>
            <w:rFonts w:eastAsia="Calibri" w:asciiTheme="minorHAnsi" w:hAnsiTheme="minorHAnsi" w:cstheme="minorHAnsi"/>
            <w:color w:val="auto"/>
            <w:kern w:val="24"/>
          </w:rPr>
          <w:t>LL.discharge2assessMRI@mft.nhs.uk</w:t>
        </w:r>
      </w:hyperlink>
    </w:p>
    <w:p w:rsidRPr="0040502F" w:rsidR="00723BAB" w:rsidP="00723BAB" w:rsidRDefault="00723BAB" w14:paraId="2B721041" w14:textId="77777777">
      <w:pPr>
        <w:pStyle w:val="NormalWeb"/>
        <w:spacing w:before="0" w:beforeAutospacing="0" w:after="0" w:afterAutospacing="0"/>
        <w:rPr>
          <w:rFonts w:asciiTheme="minorHAnsi" w:hAnsiTheme="minorHAnsi" w:cstheme="minorHAnsi"/>
        </w:rPr>
      </w:pPr>
      <w:r w:rsidRPr="0040502F">
        <w:rPr>
          <w:rFonts w:eastAsia="Calibri" w:asciiTheme="minorHAnsi" w:hAnsiTheme="minorHAnsi" w:cstheme="minorHAnsi"/>
          <w:kern w:val="24"/>
        </w:rPr>
        <w:t xml:space="preserve">WTWA - </w:t>
      </w:r>
      <w:hyperlink w:history="1" r:id="rId7">
        <w:r w:rsidRPr="0040502F">
          <w:rPr>
            <w:rStyle w:val="Hyperlink"/>
            <w:rFonts w:eastAsia="Calibri" w:asciiTheme="minorHAnsi" w:hAnsiTheme="minorHAnsi" w:cstheme="minorHAnsi"/>
            <w:color w:val="auto"/>
            <w:kern w:val="24"/>
          </w:rPr>
          <w:t>wythenshawecontactofficer@mft.nhs.uk</w:t>
        </w:r>
      </w:hyperlink>
    </w:p>
    <w:p w:rsidRPr="0040502F" w:rsidR="00723BAB" w:rsidRDefault="00723BAB" w14:paraId="6CF901CA" w14:textId="22DF04FC">
      <w:pPr>
        <w:rPr>
          <w:rFonts w:cstheme="minorHAnsi"/>
          <w:sz w:val="24"/>
          <w:szCs w:val="24"/>
        </w:rPr>
      </w:pPr>
    </w:p>
    <w:p w:rsidRPr="0040502F" w:rsidR="00723BAB" w:rsidP="307F5551" w:rsidRDefault="00723BAB" w14:paraId="60CF047F" w14:textId="5BC44020" w14:noSpellErr="1">
      <w:pPr>
        <w:rPr>
          <w:rFonts w:cs="Calibri" w:cstheme="minorAscii"/>
          <w:b w:val="1"/>
          <w:bCs w:val="1"/>
          <w:sz w:val="24"/>
          <w:szCs w:val="24"/>
        </w:rPr>
      </w:pPr>
      <w:r w:rsidRPr="307F5551" w:rsidR="00723BAB">
        <w:rPr>
          <w:rFonts w:cs="Calibri" w:cstheme="minorAscii"/>
          <w:b w:val="1"/>
          <w:bCs w:val="1"/>
          <w:sz w:val="24"/>
          <w:szCs w:val="24"/>
        </w:rPr>
        <w:t xml:space="preserve">Key communication points to consider prior to completion of a pathway 3 referral. </w:t>
      </w:r>
    </w:p>
    <w:p w:rsidRPr="0040502F" w:rsidR="00723BAB" w:rsidP="00723BAB" w:rsidRDefault="00723BAB" w14:paraId="65B45BF7" w14:textId="12DCEAA3">
      <w:pPr>
        <w:rPr>
          <w:rFonts w:cstheme="minorHAnsi"/>
          <w:sz w:val="24"/>
          <w:szCs w:val="24"/>
        </w:rPr>
      </w:pPr>
      <w:r w:rsidRPr="0040502F">
        <w:rPr>
          <w:rFonts w:cstheme="minorHAnsi"/>
          <w:sz w:val="24"/>
          <w:szCs w:val="24"/>
        </w:rPr>
        <w:t xml:space="preserve">The basic for good practise is to involve patients and their representatives in discharge planning from the earliest opportunity. By keeping them informed throughout the discharge journey and confidently explaining the discharge to assess process further choice issues can be avoided. </w:t>
      </w:r>
    </w:p>
    <w:p w:rsidR="00723BAB" w:rsidP="00723BAB" w:rsidRDefault="00723BAB" w14:paraId="60694CEA" w14:textId="515A2C53">
      <w:pPr>
        <w:pStyle w:val="ListParagraph"/>
        <w:numPr>
          <w:ilvl w:val="0"/>
          <w:numId w:val="4"/>
        </w:numPr>
        <w:rPr>
          <w:rFonts w:asciiTheme="minorHAnsi" w:hAnsiTheme="minorHAnsi" w:cstheme="minorHAnsi"/>
        </w:rPr>
      </w:pPr>
      <w:r w:rsidRPr="0040502F">
        <w:rPr>
          <w:rFonts w:asciiTheme="minorHAnsi" w:hAnsiTheme="minorHAnsi" w:cstheme="minorHAnsi"/>
        </w:rPr>
        <w:t xml:space="preserve">All relevant discharge information leaflets should be provided to patients and their representatives at the earliest opportunity, leaflets form a part of the communication but do not replace regular effective, transparent engage with patients from all members of the MDT. </w:t>
      </w:r>
    </w:p>
    <w:p w:rsidRPr="0040502F" w:rsidR="0040502F" w:rsidP="0040502F" w:rsidRDefault="0040502F" w14:paraId="0B635462" w14:textId="77777777">
      <w:pPr>
        <w:pStyle w:val="ListParagraph"/>
        <w:rPr>
          <w:rFonts w:asciiTheme="minorHAnsi" w:hAnsiTheme="minorHAnsi" w:cstheme="minorHAnsi"/>
        </w:rPr>
      </w:pPr>
    </w:p>
    <w:p w:rsidR="0040502F" w:rsidP="307F5551" w:rsidRDefault="00723BAB" w14:paraId="5A65CF71" w14:textId="7CA8DA1D" w14:noSpellErr="1">
      <w:pPr>
        <w:pStyle w:val="ListParagraph"/>
        <w:numPr>
          <w:ilvl w:val="0"/>
          <w:numId w:val="4"/>
        </w:numPr>
        <w:rPr>
          <w:rFonts w:ascii="Calibri" w:hAnsi="Calibri" w:cs="Calibri" w:asciiTheme="minorAscii" w:hAnsiTheme="minorAscii" w:cstheme="minorAscii"/>
        </w:rPr>
      </w:pPr>
      <w:r w:rsidRPr="307F5551" w:rsidR="00723BAB">
        <w:rPr>
          <w:rFonts w:ascii="Calibri" w:hAnsi="Calibri" w:cs="Calibri" w:asciiTheme="minorAscii" w:hAnsiTheme="minorAscii" w:cstheme="minorAscii"/>
        </w:rPr>
        <w:t xml:space="preserve">A pathway 3 bed is for patients who are </w:t>
      </w:r>
      <w:r w:rsidRPr="307F5551" w:rsidR="0040502F">
        <w:rPr>
          <w:rFonts w:ascii="Calibri" w:hAnsi="Calibri" w:cs="Calibri" w:asciiTheme="minorAscii" w:hAnsiTheme="minorAscii" w:cstheme="minorAscii"/>
        </w:rPr>
        <w:t>likely</w:t>
      </w:r>
      <w:r w:rsidRPr="307F5551" w:rsidR="00723BAB">
        <w:rPr>
          <w:rFonts w:ascii="Calibri" w:hAnsi="Calibri" w:cs="Calibri" w:asciiTheme="minorAscii" w:hAnsiTheme="minorAscii" w:cstheme="minorAscii"/>
        </w:rPr>
        <w:t xml:space="preserve"> to r</w:t>
      </w:r>
      <w:r w:rsidRPr="307F5551" w:rsidR="00723BAB">
        <w:rPr>
          <w:rFonts w:ascii="Calibri" w:hAnsi="Calibri" w:cs="Calibri" w:asciiTheme="minorAscii" w:hAnsiTheme="minorAscii" w:cstheme="minorAscii"/>
          <w:b w:val="1"/>
          <w:bCs w:val="1"/>
        </w:rPr>
        <w:t xml:space="preserve">equire long-term </w:t>
      </w:r>
      <w:r w:rsidRPr="307F5551" w:rsidR="0040502F">
        <w:rPr>
          <w:rFonts w:ascii="Calibri" w:hAnsi="Calibri" w:cs="Calibri" w:asciiTheme="minorAscii" w:hAnsiTheme="minorAscii" w:cstheme="minorAscii"/>
          <w:b w:val="1"/>
          <w:bCs w:val="1"/>
        </w:rPr>
        <w:t>bed-based</w:t>
      </w:r>
      <w:r w:rsidRPr="307F5551" w:rsidR="00723BAB">
        <w:rPr>
          <w:rFonts w:ascii="Calibri" w:hAnsi="Calibri" w:cs="Calibri" w:asciiTheme="minorAscii" w:hAnsiTheme="minorAscii" w:cstheme="minorAscii"/>
          <w:b w:val="1"/>
          <w:bCs w:val="1"/>
        </w:rPr>
        <w:t xml:space="preserve"> care</w:t>
      </w:r>
      <w:r w:rsidRPr="307F5551" w:rsidR="00723BAB">
        <w:rPr>
          <w:rFonts w:ascii="Calibri" w:hAnsi="Calibri" w:cs="Calibri" w:asciiTheme="minorAscii" w:hAnsiTheme="minorAscii" w:cstheme="minorAscii"/>
        </w:rPr>
        <w:t xml:space="preserve"> who have had a life changing event od have been through other pathways multiple times. It is a </w:t>
      </w:r>
      <w:r w:rsidRPr="307F5551" w:rsidR="0040502F">
        <w:rPr>
          <w:rFonts w:ascii="Calibri" w:hAnsi="Calibri" w:cs="Calibri" w:asciiTheme="minorAscii" w:hAnsiTheme="minorAscii" w:cstheme="minorAscii"/>
        </w:rPr>
        <w:t>temporary</w:t>
      </w:r>
      <w:r w:rsidRPr="307F5551" w:rsidR="00723BAB">
        <w:rPr>
          <w:rFonts w:ascii="Calibri" w:hAnsi="Calibri" w:cs="Calibri" w:asciiTheme="minorAscii" w:hAnsiTheme="minorAscii" w:cstheme="minorAscii"/>
        </w:rPr>
        <w:t xml:space="preserve"> move to a discharge to assess bed</w:t>
      </w:r>
      <w:r w:rsidRPr="307F5551" w:rsidR="0040502F">
        <w:rPr>
          <w:rFonts w:ascii="Calibri" w:hAnsi="Calibri" w:cs="Calibri" w:asciiTheme="minorAscii" w:hAnsiTheme="minorAscii" w:cstheme="minorAscii"/>
        </w:rPr>
        <w:t xml:space="preserve">, based in a care home for a period of up to 28 days, this will </w:t>
      </w:r>
      <w:r w:rsidRPr="307F5551" w:rsidR="0040502F">
        <w:rPr>
          <w:rFonts w:ascii="Calibri" w:hAnsi="Calibri" w:cs="Calibri" w:asciiTheme="minorAscii" w:hAnsiTheme="minorAscii" w:cstheme="minorAscii"/>
        </w:rPr>
        <w:t>likely be</w:t>
      </w:r>
      <w:r w:rsidRPr="307F5551" w:rsidR="0040502F">
        <w:rPr>
          <w:rFonts w:ascii="Calibri" w:hAnsi="Calibri" w:cs="Calibri" w:asciiTheme="minorAscii" w:hAnsiTheme="minorAscii" w:cstheme="minorAscii"/>
        </w:rPr>
        <w:t xml:space="preserve"> one of our contracted D2A beds.</w:t>
      </w:r>
    </w:p>
    <w:p w:rsidRPr="0040502F" w:rsidR="0040502F" w:rsidP="0040502F" w:rsidRDefault="0040502F" w14:paraId="2F623092" w14:textId="77777777">
      <w:pPr>
        <w:pStyle w:val="ListParagraph"/>
        <w:rPr>
          <w:rFonts w:asciiTheme="minorHAnsi" w:hAnsiTheme="minorHAnsi" w:cstheme="minorHAnsi"/>
        </w:rPr>
      </w:pPr>
    </w:p>
    <w:p w:rsidRPr="0040502F" w:rsidR="0040502F" w:rsidP="0040502F" w:rsidRDefault="0040502F" w14:paraId="74C4724F" w14:textId="77777777">
      <w:pPr>
        <w:pStyle w:val="ListParagraph"/>
        <w:rPr>
          <w:rFonts w:asciiTheme="minorHAnsi" w:hAnsiTheme="minorHAnsi" w:cstheme="minorHAnsi"/>
        </w:rPr>
      </w:pPr>
    </w:p>
    <w:p w:rsidR="0040502F" w:rsidP="0040502F" w:rsidRDefault="0040502F" w14:paraId="7CAFA221" w14:textId="65EA6FDA">
      <w:pPr>
        <w:pStyle w:val="ListParagraph"/>
        <w:numPr>
          <w:ilvl w:val="0"/>
          <w:numId w:val="4"/>
        </w:numPr>
        <w:rPr>
          <w:rFonts w:asciiTheme="minorHAnsi" w:hAnsiTheme="minorHAnsi" w:cstheme="minorHAnsi"/>
        </w:rPr>
      </w:pPr>
      <w:r w:rsidRPr="0040502F">
        <w:rPr>
          <w:rFonts w:asciiTheme="minorHAnsi" w:hAnsiTheme="minorHAnsi" w:cstheme="minorHAnsi"/>
        </w:rPr>
        <w:t xml:space="preserve">The choice that patients have is to opt out of D2A, if they opt in then this means they agree that the first appropriate placement found will be accepted. </w:t>
      </w:r>
    </w:p>
    <w:p w:rsidRPr="0040502F" w:rsidR="0040502F" w:rsidP="0040502F" w:rsidRDefault="0040502F" w14:paraId="6DD1FBEC" w14:textId="77777777">
      <w:pPr>
        <w:pStyle w:val="ListParagraph"/>
        <w:rPr>
          <w:rFonts w:asciiTheme="minorHAnsi" w:hAnsiTheme="minorHAnsi" w:cstheme="minorHAnsi"/>
        </w:rPr>
      </w:pPr>
    </w:p>
    <w:p w:rsidRPr="0040502F" w:rsidR="0040502F" w:rsidP="307F5551" w:rsidRDefault="0040502F" w14:paraId="7F9DC016" w14:textId="703912E9" w14:noSpellErr="1">
      <w:pPr>
        <w:pStyle w:val="ListParagraph"/>
        <w:numPr>
          <w:ilvl w:val="0"/>
          <w:numId w:val="4"/>
        </w:numPr>
        <w:rPr>
          <w:rFonts w:ascii="Calibri" w:hAnsi="Calibri" w:cs="Calibri" w:asciiTheme="minorAscii" w:hAnsiTheme="minorAscii" w:cstheme="minorAscii"/>
        </w:rPr>
      </w:pPr>
      <w:r w:rsidRPr="307F5551" w:rsidR="0040502F">
        <w:rPr>
          <w:rFonts w:ascii="Calibri" w:hAnsi="Calibri" w:cs="Calibri" w:asciiTheme="minorAscii" w:hAnsiTheme="minorAscii" w:cstheme="minorAscii"/>
        </w:rPr>
        <w:t xml:space="preserve">During this time, they will be visited by health and social care workers who will assess them to decide what care they need long-term you will be </w:t>
      </w:r>
      <w:r w:rsidRPr="307F5551" w:rsidR="0040502F">
        <w:rPr>
          <w:rFonts w:ascii="Calibri" w:hAnsi="Calibri" w:cs="Calibri" w:asciiTheme="minorAscii" w:hAnsiTheme="minorAscii" w:cstheme="minorAscii"/>
        </w:rPr>
        <w:t>allocated</w:t>
      </w:r>
      <w:r w:rsidRPr="307F5551" w:rsidR="0040502F">
        <w:rPr>
          <w:rFonts w:ascii="Calibri" w:hAnsi="Calibri" w:cs="Calibri" w:asciiTheme="minorAscii" w:hAnsiTheme="minorAscii" w:cstheme="minorAscii"/>
        </w:rPr>
        <w:t xml:space="preserve"> a social worker within 48 hours of discharge to progress from the temporary plan to a long-term plan. </w:t>
      </w:r>
    </w:p>
    <w:p w:rsidR="307F5551" w:rsidP="307F5551" w:rsidRDefault="307F5551" w14:paraId="007024E7" w14:textId="6311BBD0">
      <w:pPr>
        <w:pStyle w:val="Normal"/>
        <w:ind w:left="0"/>
        <w:rPr>
          <w:rFonts w:ascii="Calibri" w:hAnsi="Calibri" w:cs="Calibri" w:asciiTheme="minorAscii" w:hAnsiTheme="minorAscii" w:cstheme="minorAscii"/>
          <w:sz w:val="24"/>
          <w:szCs w:val="24"/>
        </w:rPr>
      </w:pPr>
    </w:p>
    <w:p w:rsidR="0040502F" w:rsidP="0040502F" w:rsidRDefault="0040502F" w14:paraId="378F0B93" w14:textId="2BBA84FF">
      <w:pPr>
        <w:pStyle w:val="ListParagraph"/>
        <w:numPr>
          <w:ilvl w:val="0"/>
          <w:numId w:val="4"/>
        </w:numPr>
        <w:rPr>
          <w:rFonts w:asciiTheme="minorHAnsi" w:hAnsiTheme="minorHAnsi" w:cstheme="minorHAnsi"/>
        </w:rPr>
      </w:pPr>
      <w:r w:rsidRPr="0040502F">
        <w:rPr>
          <w:rFonts w:asciiTheme="minorHAnsi" w:hAnsiTheme="minorHAnsi" w:cstheme="minorHAnsi"/>
        </w:rPr>
        <w:lastRenderedPageBreak/>
        <w:t xml:space="preserve">The temporary bed will be at the first home that has availability and is able to manage the assessed needs, this may be out of the local areas if there are limited bed who can me specific needs. </w:t>
      </w:r>
    </w:p>
    <w:p w:rsidRPr="0040502F" w:rsidR="0040502F" w:rsidP="0040502F" w:rsidRDefault="0040502F" w14:paraId="2D8CF2A5" w14:textId="77777777">
      <w:pPr>
        <w:pStyle w:val="ListParagraph"/>
        <w:rPr>
          <w:rFonts w:asciiTheme="minorHAnsi" w:hAnsiTheme="minorHAnsi" w:cstheme="minorHAnsi"/>
        </w:rPr>
      </w:pPr>
    </w:p>
    <w:p w:rsidR="0040502F" w:rsidP="0040502F" w:rsidRDefault="0040502F" w14:paraId="7558F322" w14:textId="13456CC6">
      <w:pPr>
        <w:pStyle w:val="ListParagraph"/>
        <w:numPr>
          <w:ilvl w:val="0"/>
          <w:numId w:val="4"/>
        </w:numPr>
        <w:rPr>
          <w:rFonts w:asciiTheme="minorHAnsi" w:hAnsiTheme="minorHAnsi" w:cstheme="minorHAnsi"/>
        </w:rPr>
      </w:pPr>
      <w:r w:rsidRPr="0040502F">
        <w:rPr>
          <w:rFonts w:asciiTheme="minorHAnsi" w:hAnsiTheme="minorHAnsi" w:cstheme="minorHAnsi"/>
        </w:rPr>
        <w:t xml:space="preserve">Staying in hospital to find a home of choice is not an option because beds in the acute hospital are needed for people who are acutely unwell and the longer you stay in hospital the greater the risk of hospital acquired infections and general deconditioning. </w:t>
      </w:r>
    </w:p>
    <w:p w:rsidRPr="0040502F" w:rsidR="0040502F" w:rsidP="0040502F" w:rsidRDefault="0040502F" w14:paraId="3D0911BA" w14:textId="77777777">
      <w:pPr>
        <w:pStyle w:val="ListParagraph"/>
        <w:rPr>
          <w:rFonts w:asciiTheme="minorHAnsi" w:hAnsiTheme="minorHAnsi" w:cstheme="minorHAnsi"/>
        </w:rPr>
      </w:pPr>
    </w:p>
    <w:p w:rsidRPr="0040502F" w:rsidR="0040502F" w:rsidP="0040502F" w:rsidRDefault="0040502F" w14:paraId="696AB0AF" w14:textId="77777777">
      <w:pPr>
        <w:pStyle w:val="ListParagraph"/>
        <w:rPr>
          <w:rFonts w:asciiTheme="minorHAnsi" w:hAnsiTheme="minorHAnsi" w:cstheme="minorHAnsi"/>
        </w:rPr>
      </w:pPr>
    </w:p>
    <w:p w:rsidR="0040502F" w:rsidP="0040502F" w:rsidRDefault="0040502F" w14:paraId="6B5884DC" w14:textId="0707DB1A">
      <w:pPr>
        <w:pStyle w:val="ListParagraph"/>
        <w:numPr>
          <w:ilvl w:val="0"/>
          <w:numId w:val="4"/>
        </w:numPr>
        <w:rPr>
          <w:rFonts w:asciiTheme="minorHAnsi" w:hAnsiTheme="minorHAnsi" w:cstheme="minorHAnsi"/>
        </w:rPr>
      </w:pPr>
      <w:r w:rsidRPr="0040502F">
        <w:rPr>
          <w:rFonts w:asciiTheme="minorHAnsi" w:hAnsiTheme="minorHAnsi" w:cstheme="minorHAnsi"/>
        </w:rPr>
        <w:t xml:space="preserve">Once they are in a D2A bed the team will work with the patient and family to find a long-term care home which they will be able to choose that suits all the needs. </w:t>
      </w:r>
    </w:p>
    <w:p w:rsidRPr="0040502F" w:rsidR="0040502F" w:rsidP="0040502F" w:rsidRDefault="0040502F" w14:paraId="536D2F6A" w14:textId="77777777">
      <w:pPr>
        <w:pStyle w:val="ListParagraph"/>
        <w:rPr>
          <w:rFonts w:asciiTheme="minorHAnsi" w:hAnsiTheme="minorHAnsi" w:cstheme="minorHAnsi"/>
        </w:rPr>
      </w:pPr>
    </w:p>
    <w:p w:rsidR="0040502F" w:rsidP="0040502F" w:rsidRDefault="0040502F" w14:paraId="75236002" w14:textId="1EC0CD7A">
      <w:pPr>
        <w:pStyle w:val="ListParagraph"/>
        <w:numPr>
          <w:ilvl w:val="0"/>
          <w:numId w:val="4"/>
        </w:numPr>
        <w:rPr>
          <w:rFonts w:asciiTheme="minorHAnsi" w:hAnsiTheme="minorHAnsi" w:cstheme="minorHAnsi"/>
        </w:rPr>
      </w:pPr>
      <w:r w:rsidRPr="0040502F">
        <w:rPr>
          <w:rFonts w:asciiTheme="minorHAnsi" w:hAnsiTheme="minorHAnsi" w:cstheme="minorHAnsi"/>
        </w:rPr>
        <w:t xml:space="preserve">The d2a bed will be paid for by the local authority until all the long-term assessments are completed (usually less than 28 days) </w:t>
      </w:r>
    </w:p>
    <w:p w:rsidRPr="0040502F" w:rsidR="0040502F" w:rsidP="0040502F" w:rsidRDefault="0040502F" w14:paraId="7FD2B77C" w14:textId="77777777">
      <w:pPr>
        <w:pStyle w:val="ListParagraph"/>
        <w:rPr>
          <w:rFonts w:asciiTheme="minorHAnsi" w:hAnsiTheme="minorHAnsi" w:cstheme="minorHAnsi"/>
        </w:rPr>
      </w:pPr>
    </w:p>
    <w:p w:rsidRPr="0040502F" w:rsidR="0040502F" w:rsidP="0040502F" w:rsidRDefault="0040502F" w14:paraId="65977E3C" w14:textId="77777777">
      <w:pPr>
        <w:pStyle w:val="ListParagraph"/>
        <w:rPr>
          <w:rFonts w:asciiTheme="minorHAnsi" w:hAnsiTheme="minorHAnsi" w:cstheme="minorHAnsi"/>
        </w:rPr>
      </w:pPr>
    </w:p>
    <w:p w:rsidRPr="0040502F" w:rsidR="0040502F" w:rsidP="307F5551" w:rsidRDefault="0040502F" w14:paraId="1E42C1AD" w14:textId="3166FDBF">
      <w:pPr>
        <w:pStyle w:val="ListParagraph"/>
        <w:numPr>
          <w:ilvl w:val="0"/>
          <w:numId w:val="4"/>
        </w:numPr>
        <w:rPr>
          <w:rFonts w:ascii="Calibri" w:hAnsi="Calibri" w:cs="Calibri" w:asciiTheme="minorAscii" w:hAnsiTheme="minorAscii" w:cstheme="minorAscii"/>
        </w:rPr>
      </w:pPr>
      <w:r w:rsidRPr="307F5551" w:rsidR="0040502F">
        <w:rPr>
          <w:rFonts w:ascii="Calibri" w:hAnsi="Calibri" w:cs="Calibri" w:asciiTheme="minorAscii" w:hAnsiTheme="minorAscii" w:cstheme="minorAscii"/>
        </w:rPr>
        <w:t>Local authorities will try and place in home C</w:t>
      </w:r>
      <w:r w:rsidRPr="307F5551" w:rsidR="23E54FF3">
        <w:rPr>
          <w:rFonts w:ascii="Calibri" w:hAnsi="Calibri" w:cs="Calibri" w:asciiTheme="minorAscii" w:hAnsiTheme="minorAscii" w:cstheme="minorAscii"/>
        </w:rPr>
        <w:t>Q</w:t>
      </w:r>
      <w:r w:rsidRPr="307F5551" w:rsidR="0040502F">
        <w:rPr>
          <w:rFonts w:ascii="Calibri" w:hAnsi="Calibri" w:cs="Calibri" w:asciiTheme="minorAscii" w:hAnsiTheme="minorAscii" w:cstheme="minorAscii"/>
        </w:rPr>
        <w:t xml:space="preserve">C rated as “good” however there are occasions where a “required improvement” home may be considered if the local authority is assured through due diligence wok has been undertaken to </w:t>
      </w:r>
      <w:r w:rsidRPr="307F5551" w:rsidR="0040502F">
        <w:rPr>
          <w:rFonts w:ascii="Calibri" w:hAnsi="Calibri" w:cs="Calibri" w:asciiTheme="minorAscii" w:hAnsiTheme="minorAscii" w:cstheme="minorAscii"/>
        </w:rPr>
        <w:t>ascertain</w:t>
      </w:r>
      <w:r w:rsidRPr="307F5551" w:rsidR="0040502F">
        <w:rPr>
          <w:rFonts w:ascii="Calibri" w:hAnsi="Calibri" w:cs="Calibri" w:asciiTheme="minorAscii" w:hAnsiTheme="minorAscii" w:cstheme="minorAscii"/>
        </w:rPr>
        <w:t xml:space="preserve"> a position </w:t>
      </w:r>
      <w:r w:rsidRPr="307F5551" w:rsidR="0040502F">
        <w:rPr>
          <w:rFonts w:ascii="Calibri" w:hAnsi="Calibri" w:cs="Calibri" w:asciiTheme="minorAscii" w:hAnsiTheme="minorAscii" w:cstheme="minorAscii"/>
        </w:rPr>
        <w:t>appropriate to</w:t>
      </w:r>
      <w:r w:rsidRPr="307F5551" w:rsidR="0040502F">
        <w:rPr>
          <w:rFonts w:ascii="Calibri" w:hAnsi="Calibri" w:cs="Calibri" w:asciiTheme="minorAscii" w:hAnsiTheme="minorAscii" w:cstheme="minorAscii"/>
        </w:rPr>
        <w:t xml:space="preserve"> discharge patients to. </w:t>
      </w:r>
    </w:p>
    <w:sectPr w:rsidRPr="0040502F" w:rsidR="0040502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9109B"/>
    <w:multiLevelType w:val="hybridMultilevel"/>
    <w:tmpl w:val="69F0939A"/>
    <w:lvl w:ilvl="0" w:tplc="F940C248">
      <w:start w:val="1"/>
      <w:numFmt w:val="bullet"/>
      <w:lvlText w:val="•"/>
      <w:lvlJc w:val="left"/>
      <w:pPr>
        <w:tabs>
          <w:tab w:val="num" w:pos="720"/>
        </w:tabs>
        <w:ind w:left="720" w:hanging="360"/>
      </w:pPr>
      <w:rPr>
        <w:rFonts w:hint="default" w:ascii="Arial" w:hAnsi="Arial"/>
      </w:rPr>
    </w:lvl>
    <w:lvl w:ilvl="1" w:tplc="FD88DF60" w:tentative="1">
      <w:start w:val="1"/>
      <w:numFmt w:val="bullet"/>
      <w:lvlText w:val="•"/>
      <w:lvlJc w:val="left"/>
      <w:pPr>
        <w:tabs>
          <w:tab w:val="num" w:pos="1440"/>
        </w:tabs>
        <w:ind w:left="1440" w:hanging="360"/>
      </w:pPr>
      <w:rPr>
        <w:rFonts w:hint="default" w:ascii="Arial" w:hAnsi="Arial"/>
      </w:rPr>
    </w:lvl>
    <w:lvl w:ilvl="2" w:tplc="28523396" w:tentative="1">
      <w:start w:val="1"/>
      <w:numFmt w:val="bullet"/>
      <w:lvlText w:val="•"/>
      <w:lvlJc w:val="left"/>
      <w:pPr>
        <w:tabs>
          <w:tab w:val="num" w:pos="2160"/>
        </w:tabs>
        <w:ind w:left="2160" w:hanging="360"/>
      </w:pPr>
      <w:rPr>
        <w:rFonts w:hint="default" w:ascii="Arial" w:hAnsi="Arial"/>
      </w:rPr>
    </w:lvl>
    <w:lvl w:ilvl="3" w:tplc="78D29EE4" w:tentative="1">
      <w:start w:val="1"/>
      <w:numFmt w:val="bullet"/>
      <w:lvlText w:val="•"/>
      <w:lvlJc w:val="left"/>
      <w:pPr>
        <w:tabs>
          <w:tab w:val="num" w:pos="2880"/>
        </w:tabs>
        <w:ind w:left="2880" w:hanging="360"/>
      </w:pPr>
      <w:rPr>
        <w:rFonts w:hint="default" w:ascii="Arial" w:hAnsi="Arial"/>
      </w:rPr>
    </w:lvl>
    <w:lvl w:ilvl="4" w:tplc="3342BC00" w:tentative="1">
      <w:start w:val="1"/>
      <w:numFmt w:val="bullet"/>
      <w:lvlText w:val="•"/>
      <w:lvlJc w:val="left"/>
      <w:pPr>
        <w:tabs>
          <w:tab w:val="num" w:pos="3600"/>
        </w:tabs>
        <w:ind w:left="3600" w:hanging="360"/>
      </w:pPr>
      <w:rPr>
        <w:rFonts w:hint="default" w:ascii="Arial" w:hAnsi="Arial"/>
      </w:rPr>
    </w:lvl>
    <w:lvl w:ilvl="5" w:tplc="E08AC74C" w:tentative="1">
      <w:start w:val="1"/>
      <w:numFmt w:val="bullet"/>
      <w:lvlText w:val="•"/>
      <w:lvlJc w:val="left"/>
      <w:pPr>
        <w:tabs>
          <w:tab w:val="num" w:pos="4320"/>
        </w:tabs>
        <w:ind w:left="4320" w:hanging="360"/>
      </w:pPr>
      <w:rPr>
        <w:rFonts w:hint="default" w:ascii="Arial" w:hAnsi="Arial"/>
      </w:rPr>
    </w:lvl>
    <w:lvl w:ilvl="6" w:tplc="5492C548" w:tentative="1">
      <w:start w:val="1"/>
      <w:numFmt w:val="bullet"/>
      <w:lvlText w:val="•"/>
      <w:lvlJc w:val="left"/>
      <w:pPr>
        <w:tabs>
          <w:tab w:val="num" w:pos="5040"/>
        </w:tabs>
        <w:ind w:left="5040" w:hanging="360"/>
      </w:pPr>
      <w:rPr>
        <w:rFonts w:hint="default" w:ascii="Arial" w:hAnsi="Arial"/>
      </w:rPr>
    </w:lvl>
    <w:lvl w:ilvl="7" w:tplc="E6B4342A" w:tentative="1">
      <w:start w:val="1"/>
      <w:numFmt w:val="bullet"/>
      <w:lvlText w:val="•"/>
      <w:lvlJc w:val="left"/>
      <w:pPr>
        <w:tabs>
          <w:tab w:val="num" w:pos="5760"/>
        </w:tabs>
        <w:ind w:left="5760" w:hanging="360"/>
      </w:pPr>
      <w:rPr>
        <w:rFonts w:hint="default" w:ascii="Arial" w:hAnsi="Arial"/>
      </w:rPr>
    </w:lvl>
    <w:lvl w:ilvl="8" w:tplc="9D8C8EC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663311DB"/>
    <w:multiLevelType w:val="hybridMultilevel"/>
    <w:tmpl w:val="54B4D5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A1A2319"/>
    <w:multiLevelType w:val="hybridMultilevel"/>
    <w:tmpl w:val="78561C56"/>
    <w:lvl w:ilvl="0" w:tplc="8B943B3E">
      <w:start w:val="1"/>
      <w:numFmt w:val="bullet"/>
      <w:lvlText w:val="•"/>
      <w:lvlJc w:val="left"/>
      <w:pPr>
        <w:tabs>
          <w:tab w:val="num" w:pos="720"/>
        </w:tabs>
        <w:ind w:left="720" w:hanging="360"/>
      </w:pPr>
      <w:rPr>
        <w:rFonts w:hint="default" w:ascii="Arial" w:hAnsi="Arial"/>
      </w:rPr>
    </w:lvl>
    <w:lvl w:ilvl="1" w:tplc="238E505A" w:tentative="1">
      <w:start w:val="1"/>
      <w:numFmt w:val="bullet"/>
      <w:lvlText w:val="•"/>
      <w:lvlJc w:val="left"/>
      <w:pPr>
        <w:tabs>
          <w:tab w:val="num" w:pos="1440"/>
        </w:tabs>
        <w:ind w:left="1440" w:hanging="360"/>
      </w:pPr>
      <w:rPr>
        <w:rFonts w:hint="default" w:ascii="Arial" w:hAnsi="Arial"/>
      </w:rPr>
    </w:lvl>
    <w:lvl w:ilvl="2" w:tplc="0024C9DA" w:tentative="1">
      <w:start w:val="1"/>
      <w:numFmt w:val="bullet"/>
      <w:lvlText w:val="•"/>
      <w:lvlJc w:val="left"/>
      <w:pPr>
        <w:tabs>
          <w:tab w:val="num" w:pos="2160"/>
        </w:tabs>
        <w:ind w:left="2160" w:hanging="360"/>
      </w:pPr>
      <w:rPr>
        <w:rFonts w:hint="default" w:ascii="Arial" w:hAnsi="Arial"/>
      </w:rPr>
    </w:lvl>
    <w:lvl w:ilvl="3" w:tplc="49D871FA" w:tentative="1">
      <w:start w:val="1"/>
      <w:numFmt w:val="bullet"/>
      <w:lvlText w:val="•"/>
      <w:lvlJc w:val="left"/>
      <w:pPr>
        <w:tabs>
          <w:tab w:val="num" w:pos="2880"/>
        </w:tabs>
        <w:ind w:left="2880" w:hanging="360"/>
      </w:pPr>
      <w:rPr>
        <w:rFonts w:hint="default" w:ascii="Arial" w:hAnsi="Arial"/>
      </w:rPr>
    </w:lvl>
    <w:lvl w:ilvl="4" w:tplc="0A188978" w:tentative="1">
      <w:start w:val="1"/>
      <w:numFmt w:val="bullet"/>
      <w:lvlText w:val="•"/>
      <w:lvlJc w:val="left"/>
      <w:pPr>
        <w:tabs>
          <w:tab w:val="num" w:pos="3600"/>
        </w:tabs>
        <w:ind w:left="3600" w:hanging="360"/>
      </w:pPr>
      <w:rPr>
        <w:rFonts w:hint="default" w:ascii="Arial" w:hAnsi="Arial"/>
      </w:rPr>
    </w:lvl>
    <w:lvl w:ilvl="5" w:tplc="3B4EAFE4" w:tentative="1">
      <w:start w:val="1"/>
      <w:numFmt w:val="bullet"/>
      <w:lvlText w:val="•"/>
      <w:lvlJc w:val="left"/>
      <w:pPr>
        <w:tabs>
          <w:tab w:val="num" w:pos="4320"/>
        </w:tabs>
        <w:ind w:left="4320" w:hanging="360"/>
      </w:pPr>
      <w:rPr>
        <w:rFonts w:hint="default" w:ascii="Arial" w:hAnsi="Arial"/>
      </w:rPr>
    </w:lvl>
    <w:lvl w:ilvl="6" w:tplc="718684F2" w:tentative="1">
      <w:start w:val="1"/>
      <w:numFmt w:val="bullet"/>
      <w:lvlText w:val="•"/>
      <w:lvlJc w:val="left"/>
      <w:pPr>
        <w:tabs>
          <w:tab w:val="num" w:pos="5040"/>
        </w:tabs>
        <w:ind w:left="5040" w:hanging="360"/>
      </w:pPr>
      <w:rPr>
        <w:rFonts w:hint="default" w:ascii="Arial" w:hAnsi="Arial"/>
      </w:rPr>
    </w:lvl>
    <w:lvl w:ilvl="7" w:tplc="BA6E93D6" w:tentative="1">
      <w:start w:val="1"/>
      <w:numFmt w:val="bullet"/>
      <w:lvlText w:val="•"/>
      <w:lvlJc w:val="left"/>
      <w:pPr>
        <w:tabs>
          <w:tab w:val="num" w:pos="5760"/>
        </w:tabs>
        <w:ind w:left="5760" w:hanging="360"/>
      </w:pPr>
      <w:rPr>
        <w:rFonts w:hint="default" w:ascii="Arial" w:hAnsi="Arial"/>
      </w:rPr>
    </w:lvl>
    <w:lvl w:ilvl="8" w:tplc="03DA19DA"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75F208F6"/>
    <w:multiLevelType w:val="hybridMultilevel"/>
    <w:tmpl w:val="E5FED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73964977">
    <w:abstractNumId w:val="2"/>
  </w:num>
  <w:num w:numId="2" w16cid:durableId="1737430260">
    <w:abstractNumId w:val="0"/>
  </w:num>
  <w:num w:numId="3" w16cid:durableId="1172988043">
    <w:abstractNumId w:val="3"/>
  </w:num>
  <w:num w:numId="4" w16cid:durableId="580917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AB"/>
    <w:rsid w:val="00164437"/>
    <w:rsid w:val="0040502F"/>
    <w:rsid w:val="00723BAB"/>
    <w:rsid w:val="0DEC4A06"/>
    <w:rsid w:val="123008DA"/>
    <w:rsid w:val="1AB1A4B1"/>
    <w:rsid w:val="23D314E3"/>
    <w:rsid w:val="23E54FF3"/>
    <w:rsid w:val="307F5551"/>
    <w:rsid w:val="3361C863"/>
    <w:rsid w:val="431B8B52"/>
    <w:rsid w:val="6606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BCC6"/>
  <w15:chartTrackingRefBased/>
  <w15:docId w15:val="{82AE9B25-5673-4125-81CD-2E736D7B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23BA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723BAB"/>
    <w:pPr>
      <w:spacing w:after="0" w:line="240" w:lineRule="auto"/>
      <w:ind w:left="720"/>
      <w:contextualSpacing/>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723BAB"/>
    <w:rPr>
      <w:color w:val="0000FF"/>
      <w:u w:val="single"/>
    </w:rPr>
  </w:style>
  <w:style w:type="character" w:styleId="UnresolvedMention">
    <w:name w:val="Unresolved Mention"/>
    <w:basedOn w:val="DefaultParagraphFont"/>
    <w:uiPriority w:val="99"/>
    <w:semiHidden/>
    <w:unhideWhenUsed/>
    <w:rsid w:val="0072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2990">
      <w:bodyDiv w:val="1"/>
      <w:marLeft w:val="0"/>
      <w:marRight w:val="0"/>
      <w:marTop w:val="0"/>
      <w:marBottom w:val="0"/>
      <w:divBdr>
        <w:top w:val="none" w:sz="0" w:space="0" w:color="auto"/>
        <w:left w:val="none" w:sz="0" w:space="0" w:color="auto"/>
        <w:bottom w:val="none" w:sz="0" w:space="0" w:color="auto"/>
        <w:right w:val="none" w:sz="0" w:space="0" w:color="auto"/>
      </w:divBdr>
      <w:divsChild>
        <w:div w:id="1786919188">
          <w:marLeft w:val="446"/>
          <w:marRight w:val="0"/>
          <w:marTop w:val="0"/>
          <w:marBottom w:val="0"/>
          <w:divBdr>
            <w:top w:val="none" w:sz="0" w:space="0" w:color="auto"/>
            <w:left w:val="none" w:sz="0" w:space="0" w:color="auto"/>
            <w:bottom w:val="none" w:sz="0" w:space="0" w:color="auto"/>
            <w:right w:val="none" w:sz="0" w:space="0" w:color="auto"/>
          </w:divBdr>
        </w:div>
        <w:div w:id="2135295372">
          <w:marLeft w:val="446"/>
          <w:marRight w:val="0"/>
          <w:marTop w:val="0"/>
          <w:marBottom w:val="0"/>
          <w:divBdr>
            <w:top w:val="none" w:sz="0" w:space="0" w:color="auto"/>
            <w:left w:val="none" w:sz="0" w:space="0" w:color="auto"/>
            <w:bottom w:val="none" w:sz="0" w:space="0" w:color="auto"/>
            <w:right w:val="none" w:sz="0" w:space="0" w:color="auto"/>
          </w:divBdr>
        </w:div>
        <w:div w:id="555437870">
          <w:marLeft w:val="446"/>
          <w:marRight w:val="0"/>
          <w:marTop w:val="0"/>
          <w:marBottom w:val="0"/>
          <w:divBdr>
            <w:top w:val="none" w:sz="0" w:space="0" w:color="auto"/>
            <w:left w:val="none" w:sz="0" w:space="0" w:color="auto"/>
            <w:bottom w:val="none" w:sz="0" w:space="0" w:color="auto"/>
            <w:right w:val="none" w:sz="0" w:space="0" w:color="auto"/>
          </w:divBdr>
        </w:div>
        <w:div w:id="1648045272">
          <w:marLeft w:val="446"/>
          <w:marRight w:val="0"/>
          <w:marTop w:val="0"/>
          <w:marBottom w:val="0"/>
          <w:divBdr>
            <w:top w:val="none" w:sz="0" w:space="0" w:color="auto"/>
            <w:left w:val="none" w:sz="0" w:space="0" w:color="auto"/>
            <w:bottom w:val="none" w:sz="0" w:space="0" w:color="auto"/>
            <w:right w:val="none" w:sz="0" w:space="0" w:color="auto"/>
          </w:divBdr>
        </w:div>
        <w:div w:id="1483352390">
          <w:marLeft w:val="446"/>
          <w:marRight w:val="0"/>
          <w:marTop w:val="0"/>
          <w:marBottom w:val="0"/>
          <w:divBdr>
            <w:top w:val="none" w:sz="0" w:space="0" w:color="auto"/>
            <w:left w:val="none" w:sz="0" w:space="0" w:color="auto"/>
            <w:bottom w:val="none" w:sz="0" w:space="0" w:color="auto"/>
            <w:right w:val="none" w:sz="0" w:space="0" w:color="auto"/>
          </w:divBdr>
        </w:div>
        <w:div w:id="711809054">
          <w:marLeft w:val="446"/>
          <w:marRight w:val="0"/>
          <w:marTop w:val="0"/>
          <w:marBottom w:val="0"/>
          <w:divBdr>
            <w:top w:val="none" w:sz="0" w:space="0" w:color="auto"/>
            <w:left w:val="none" w:sz="0" w:space="0" w:color="auto"/>
            <w:bottom w:val="none" w:sz="0" w:space="0" w:color="auto"/>
            <w:right w:val="none" w:sz="0" w:space="0" w:color="auto"/>
          </w:divBdr>
        </w:div>
        <w:div w:id="19657702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wythenshawecontactofficer@mft.nhs.uk"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LL.discharge2assessMRI@mft.nhs.uk" TargetMode="External" Id="rId6" /><Relationship Type="http://schemas.openxmlformats.org/officeDocument/2006/relationships/customXml" Target="../customXml/item2.xml" Id="rId11" /><Relationship Type="http://schemas.openxmlformats.org/officeDocument/2006/relationships/hyperlink" Target="mailto:noticetoassess@manchester.gov.uk"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1433709217D4F87F71CAACD49F532" ma:contentTypeVersion="5" ma:contentTypeDescription="Create a new document." ma:contentTypeScope="" ma:versionID="d31f4f6b0897527a0baa870650a926f3">
  <xsd:schema xmlns:xsd="http://www.w3.org/2001/XMLSchema" xmlns:xs="http://www.w3.org/2001/XMLSchema" xmlns:p="http://schemas.microsoft.com/office/2006/metadata/properties" xmlns:ns2="688ef32f-177e-4410-9ff7-5ab767bea8e6" xmlns:ns3="59432374-73d3-4694-a83a-51dc4484728e" targetNamespace="http://schemas.microsoft.com/office/2006/metadata/properties" ma:root="true" ma:fieldsID="2170cf3989c188f4ebddbc1a58c97524" ns2:_="" ns3:_="">
    <xsd:import namespace="688ef32f-177e-4410-9ff7-5ab767bea8e6"/>
    <xsd:import namespace="59432374-73d3-4694-a83a-51dc448472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ef32f-177e-4410-9ff7-5ab767bea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432374-73d3-4694-a83a-51dc448472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D095D-3509-47B0-8820-A31BE1695B97}"/>
</file>

<file path=customXml/itemProps2.xml><?xml version="1.0" encoding="utf-8"?>
<ds:datastoreItem xmlns:ds="http://schemas.openxmlformats.org/officeDocument/2006/customXml" ds:itemID="{8243EF53-551D-4F6F-8DD1-401A75CCDAF2}"/>
</file>

<file path=customXml/itemProps3.xml><?xml version="1.0" encoding="utf-8"?>
<ds:datastoreItem xmlns:ds="http://schemas.openxmlformats.org/officeDocument/2006/customXml" ds:itemID="{60D4C134-1384-4566-8CA4-DD80737F9C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University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Woodcock Joseph (R0A) Manchester University NHS FT</dc:creator>
  <keywords/>
  <dc:description/>
  <lastModifiedBy>Woodcock Joseph (R0A) Manchester University NHS FT</lastModifiedBy>
  <revision>2</revision>
  <dcterms:created xsi:type="dcterms:W3CDTF">2023-11-16T11:36:00.0000000Z</dcterms:created>
  <dcterms:modified xsi:type="dcterms:W3CDTF">2023-11-27T09:43:55.8757619Z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0x010100B2B1433709217D4F87F71CAACD49F532</vt:lpwstr>
  </property>
</Properties>
</file>