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29E78FE0" w14:textId="77777777" w:rsidR="0070315C" w:rsidRDefault="0070315C" w:rsidP="0070315C">
      <w:pPr>
        <w:spacing w:after="0"/>
      </w:pPr>
      <w:r>
        <w:t xml:space="preserve">Poradnik dla rodziców i opiekunów 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rPr>
                <w:sz w:val="40"/>
                <w:szCs w:val="40"/>
              </w:rPr>
            </w:pPr>
            <w:r>
              <w:rPr>
                <w:b/>
                <w:sz w:val="40"/>
              </w:rPr>
              <w:t>Dawanie dziecku wyboru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r>
              <w:t>Dając dziecku wybór, pomagamy mu uczyć się nowych słów i lepiej się z nami komunikować. Kiedy pytasz: „Chcesz mleko czy sok?”, dziecko uczy się, jak prosić o to, czego potrzebuje.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Spróbuj zadawać dziecku pytania z wyborem np.:</w:t>
            </w:r>
          </w:p>
          <w:p w14:paraId="250E1BBA" w14:textId="50F8FA53" w:rsidR="00926BF9" w:rsidRPr="00926BF9" w:rsidRDefault="0070315C" w:rsidP="00926BF9">
            <w:r>
              <w:rPr>
                <w:b/>
              </w:rPr>
              <w:t>Przy ubieraniu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Chcesz spodnie czy koszulkę?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Chcesz sweter czy skarpetki?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r>
              <w:rPr>
                <w:b/>
              </w:rPr>
              <w:t>Przy oferowaniu przekąsek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Chcesz mleko czy sok?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 xml:space="preserve">Chcesz jabłko czy banana? 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Chcesz marchewkę czy rodzynki?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r>
              <w:rPr>
                <w:b/>
              </w:rPr>
              <w:t>Podczas zabawy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Chcesz autka czy klocki?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Chcesz książeczkę czy pociąg?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Chcesz kredki czy kredę?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r>
              <w:rPr>
                <w:b/>
              </w:rPr>
              <w:t>Przy posiłku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Chcesz płatki czy tosta?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Chcesz groszek czy fasolkę?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Chcesz jogurt czy budyń?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7031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70315C">
                    <w: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55E47"/>
    <w:rsid w:val="00063808"/>
    <w:rsid w:val="0012648A"/>
    <w:rsid w:val="00523C43"/>
    <w:rsid w:val="0054080B"/>
    <w:rsid w:val="00560394"/>
    <w:rsid w:val="00597F4F"/>
    <w:rsid w:val="005A7DF6"/>
    <w:rsid w:val="0070315C"/>
    <w:rsid w:val="00926BF9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2025-03-11T14:48:00Z</dcterms:created>
  <dcterms:modified xsi:type="dcterms:W3CDTF">2025-03-11T14:48:00Z</dcterms:modified>
</cp:coreProperties>
</file>